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2D81" w14:textId="77777777" w:rsidR="00BA14CD" w:rsidRPr="0093493E" w:rsidRDefault="00BA14CD" w:rsidP="00040CE3">
      <w:pPr>
        <w:tabs>
          <w:tab w:val="left" w:pos="2355"/>
        </w:tabs>
        <w:spacing w:after="0" w:line="240" w:lineRule="auto"/>
        <w:rPr>
          <w:rFonts w:ascii="Times New Roman" w:hAnsi="Times New Roman" w:cs="Times New Roman"/>
          <w:color w:val="000000" w:themeColor="text1"/>
          <w:sz w:val="24"/>
          <w:szCs w:val="22"/>
        </w:rPr>
      </w:pPr>
      <w:r w:rsidRPr="0093493E">
        <w:rPr>
          <w:rFonts w:ascii="Times New Roman" w:hAnsi="Times New Roman" w:cs="Times New Roman"/>
          <w:color w:val="000000" w:themeColor="text1"/>
          <w:sz w:val="24"/>
          <w:szCs w:val="22"/>
        </w:rPr>
        <w:t xml:space="preserve">[DATE] </w:t>
      </w:r>
    </w:p>
    <w:p w14:paraId="59208DB2" w14:textId="77777777" w:rsidR="00BA14CD" w:rsidRPr="0093493E" w:rsidRDefault="00BA14CD" w:rsidP="0093493E">
      <w:pPr>
        <w:spacing w:after="0" w:line="240" w:lineRule="auto"/>
        <w:rPr>
          <w:rFonts w:ascii="Times New Roman" w:hAnsi="Times New Roman" w:cs="Times New Roman"/>
          <w:color w:val="333333"/>
          <w:sz w:val="24"/>
          <w:szCs w:val="22"/>
          <w:shd w:val="clear" w:color="auto" w:fill="FFFFFF"/>
        </w:rPr>
      </w:pPr>
    </w:p>
    <w:p w14:paraId="50E8CBB7" w14:textId="77777777" w:rsidR="005E4485" w:rsidRPr="005E4485" w:rsidRDefault="005E4485" w:rsidP="005E4485">
      <w:pPr>
        <w:spacing w:after="0" w:line="240" w:lineRule="auto"/>
        <w:rPr>
          <w:rFonts w:ascii="Times New Roman" w:hAnsi="Times New Roman" w:cs="Times New Roman"/>
          <w:color w:val="333333"/>
          <w:sz w:val="24"/>
          <w:szCs w:val="22"/>
          <w:shd w:val="clear" w:color="auto" w:fill="FFFFFF"/>
        </w:rPr>
      </w:pPr>
      <w:r w:rsidRPr="005E4485">
        <w:rPr>
          <w:rFonts w:ascii="Times New Roman" w:hAnsi="Times New Roman" w:cs="Times New Roman"/>
          <w:color w:val="333333"/>
          <w:sz w:val="24"/>
          <w:szCs w:val="22"/>
          <w:shd w:val="clear" w:color="auto" w:fill="FFFFFF"/>
        </w:rPr>
        <w:t xml:space="preserve">The Honorable </w:t>
      </w:r>
      <w:r w:rsidR="006E620F">
        <w:rPr>
          <w:rFonts w:ascii="Times New Roman" w:hAnsi="Times New Roman" w:cs="Times New Roman"/>
          <w:color w:val="333333"/>
          <w:sz w:val="24"/>
          <w:szCs w:val="22"/>
          <w:shd w:val="clear" w:color="auto" w:fill="FFFFFF"/>
        </w:rPr>
        <w:t>Anna Caballero</w:t>
      </w:r>
    </w:p>
    <w:p w14:paraId="0DDC1475" w14:textId="77777777" w:rsidR="005E4485" w:rsidRPr="005E4485" w:rsidRDefault="005E4485" w:rsidP="005E4485">
      <w:pPr>
        <w:spacing w:after="0" w:line="240" w:lineRule="auto"/>
        <w:rPr>
          <w:rFonts w:ascii="Times New Roman" w:hAnsi="Times New Roman" w:cs="Times New Roman"/>
          <w:color w:val="333333"/>
          <w:sz w:val="24"/>
          <w:szCs w:val="22"/>
          <w:shd w:val="clear" w:color="auto" w:fill="FFFFFF"/>
        </w:rPr>
      </w:pPr>
      <w:r w:rsidRPr="005E4485">
        <w:rPr>
          <w:rFonts w:ascii="Times New Roman" w:hAnsi="Times New Roman" w:cs="Times New Roman"/>
          <w:color w:val="333333"/>
          <w:sz w:val="24"/>
          <w:szCs w:val="22"/>
          <w:shd w:val="clear" w:color="auto" w:fill="FFFFFF"/>
        </w:rPr>
        <w:t xml:space="preserve">Chair, </w:t>
      </w:r>
      <w:r w:rsidR="00BE4611">
        <w:rPr>
          <w:rFonts w:ascii="Times New Roman" w:hAnsi="Times New Roman" w:cs="Times New Roman"/>
          <w:color w:val="333333"/>
          <w:sz w:val="24"/>
          <w:szCs w:val="22"/>
          <w:shd w:val="clear" w:color="auto" w:fill="FFFFFF"/>
        </w:rPr>
        <w:t xml:space="preserve">Senate </w:t>
      </w:r>
      <w:r w:rsidR="006E620F">
        <w:rPr>
          <w:rFonts w:ascii="Times New Roman" w:hAnsi="Times New Roman" w:cs="Times New Roman"/>
          <w:color w:val="333333"/>
          <w:sz w:val="24"/>
          <w:szCs w:val="22"/>
          <w:shd w:val="clear" w:color="auto" w:fill="FFFFFF"/>
        </w:rPr>
        <w:t>Appropriations</w:t>
      </w:r>
      <w:r w:rsidR="00BE4611">
        <w:rPr>
          <w:rFonts w:ascii="Times New Roman" w:hAnsi="Times New Roman" w:cs="Times New Roman"/>
          <w:color w:val="333333"/>
          <w:sz w:val="24"/>
          <w:szCs w:val="22"/>
          <w:shd w:val="clear" w:color="auto" w:fill="FFFFFF"/>
        </w:rPr>
        <w:t xml:space="preserve"> Committee</w:t>
      </w:r>
    </w:p>
    <w:p w14:paraId="4F099256" w14:textId="77777777" w:rsidR="005E4485" w:rsidRPr="005E4485" w:rsidRDefault="006E620F" w:rsidP="005E4485">
      <w:pPr>
        <w:spacing w:after="0" w:line="240" w:lineRule="auto"/>
        <w:rPr>
          <w:rFonts w:ascii="Times New Roman" w:hAnsi="Times New Roman" w:cs="Times New Roman"/>
          <w:color w:val="333333"/>
          <w:sz w:val="24"/>
          <w:szCs w:val="22"/>
          <w:shd w:val="clear" w:color="auto" w:fill="FFFFFF"/>
        </w:rPr>
      </w:pPr>
      <w:r>
        <w:rPr>
          <w:rFonts w:ascii="Times New Roman" w:hAnsi="Times New Roman" w:cs="Times New Roman"/>
          <w:color w:val="333333"/>
          <w:sz w:val="24"/>
          <w:szCs w:val="22"/>
          <w:shd w:val="clear" w:color="auto" w:fill="FFFFFF"/>
        </w:rPr>
        <w:t>State Capitol, 412</w:t>
      </w:r>
    </w:p>
    <w:p w14:paraId="3D3FD22C" w14:textId="77777777" w:rsidR="0093493E" w:rsidRDefault="005E4485" w:rsidP="005E4485">
      <w:pPr>
        <w:spacing w:after="0" w:line="240" w:lineRule="auto"/>
        <w:rPr>
          <w:rFonts w:ascii="Times New Roman" w:hAnsi="Times New Roman" w:cs="Times New Roman"/>
          <w:color w:val="333333"/>
          <w:sz w:val="24"/>
          <w:szCs w:val="22"/>
          <w:shd w:val="clear" w:color="auto" w:fill="FFFFFF"/>
        </w:rPr>
      </w:pPr>
      <w:r w:rsidRPr="005E4485">
        <w:rPr>
          <w:rFonts w:ascii="Times New Roman" w:hAnsi="Times New Roman" w:cs="Times New Roman"/>
          <w:color w:val="333333"/>
          <w:sz w:val="24"/>
          <w:szCs w:val="22"/>
          <w:shd w:val="clear" w:color="auto" w:fill="FFFFFF"/>
        </w:rPr>
        <w:t>Sacramento, CA 95814</w:t>
      </w:r>
    </w:p>
    <w:p w14:paraId="546EAF29" w14:textId="77777777" w:rsidR="005E4485" w:rsidRPr="0093493E" w:rsidRDefault="005E4485" w:rsidP="005E4485">
      <w:pPr>
        <w:spacing w:after="0" w:line="240" w:lineRule="auto"/>
        <w:rPr>
          <w:rFonts w:ascii="Times New Roman" w:hAnsi="Times New Roman" w:cs="Times New Roman"/>
          <w:color w:val="000000" w:themeColor="text1"/>
          <w:sz w:val="24"/>
          <w:szCs w:val="22"/>
        </w:rPr>
      </w:pPr>
    </w:p>
    <w:p w14:paraId="3542952E" w14:textId="77777777" w:rsidR="0093493E" w:rsidRPr="0093493E" w:rsidRDefault="0093493E" w:rsidP="0093493E">
      <w:pPr>
        <w:spacing w:after="0" w:line="240" w:lineRule="auto"/>
        <w:rPr>
          <w:rFonts w:ascii="Times New Roman" w:eastAsia="Times New Roman" w:hAnsi="Times New Roman" w:cs="Times New Roman"/>
          <w:b/>
          <w:color w:val="000000" w:themeColor="text1"/>
          <w:sz w:val="24"/>
          <w:szCs w:val="22"/>
        </w:rPr>
      </w:pPr>
      <w:r w:rsidRPr="0093493E">
        <w:rPr>
          <w:rFonts w:ascii="Times New Roman" w:hAnsi="Times New Roman" w:cs="Times New Roman"/>
          <w:b/>
          <w:color w:val="000000" w:themeColor="text1"/>
          <w:sz w:val="24"/>
          <w:szCs w:val="22"/>
        </w:rPr>
        <w:t xml:space="preserve">RE: AB 221 (Ramos) - SUPPORT </w:t>
      </w:r>
    </w:p>
    <w:p w14:paraId="5661E505" w14:textId="77777777" w:rsidR="0093493E" w:rsidRPr="0093493E" w:rsidRDefault="0093493E" w:rsidP="0093493E">
      <w:pPr>
        <w:spacing w:after="0" w:line="240" w:lineRule="auto"/>
        <w:jc w:val="both"/>
        <w:rPr>
          <w:rFonts w:ascii="Times New Roman" w:hAnsi="Times New Roman" w:cs="Times New Roman"/>
          <w:sz w:val="24"/>
          <w:szCs w:val="22"/>
        </w:rPr>
      </w:pPr>
    </w:p>
    <w:p w14:paraId="049BCC75" w14:textId="77777777" w:rsidR="0093493E" w:rsidRPr="0093493E" w:rsidRDefault="0093493E" w:rsidP="0093493E">
      <w:pPr>
        <w:spacing w:after="0" w:line="240" w:lineRule="auto"/>
        <w:jc w:val="both"/>
        <w:rPr>
          <w:rFonts w:ascii="Times New Roman" w:hAnsi="Times New Roman" w:cs="Times New Roman"/>
          <w:sz w:val="24"/>
          <w:szCs w:val="22"/>
        </w:rPr>
      </w:pPr>
      <w:r w:rsidRPr="0093493E">
        <w:rPr>
          <w:rFonts w:ascii="Times New Roman" w:hAnsi="Times New Roman" w:cs="Times New Roman"/>
          <w:sz w:val="24"/>
          <w:szCs w:val="22"/>
        </w:rPr>
        <w:t xml:space="preserve">Dear </w:t>
      </w:r>
      <w:r w:rsidR="005E4485">
        <w:rPr>
          <w:rFonts w:ascii="Times New Roman" w:hAnsi="Times New Roman" w:cs="Times New Roman"/>
          <w:sz w:val="24"/>
          <w:szCs w:val="22"/>
        </w:rPr>
        <w:t xml:space="preserve">Chair </w:t>
      </w:r>
      <w:r w:rsidR="006E620F">
        <w:rPr>
          <w:rFonts w:ascii="Times New Roman" w:hAnsi="Times New Roman" w:cs="Times New Roman"/>
          <w:sz w:val="24"/>
          <w:szCs w:val="22"/>
        </w:rPr>
        <w:t>Caballero</w:t>
      </w:r>
      <w:r w:rsidRPr="0093493E">
        <w:rPr>
          <w:rFonts w:ascii="Times New Roman" w:hAnsi="Times New Roman" w:cs="Times New Roman"/>
          <w:sz w:val="24"/>
          <w:szCs w:val="22"/>
        </w:rPr>
        <w:t>,</w:t>
      </w:r>
    </w:p>
    <w:p w14:paraId="67FF5D99" w14:textId="77777777" w:rsidR="0093493E" w:rsidRDefault="0093493E" w:rsidP="0093493E">
      <w:pPr>
        <w:spacing w:after="0" w:line="240" w:lineRule="auto"/>
        <w:jc w:val="both"/>
        <w:rPr>
          <w:rFonts w:ascii="Times New Roman" w:hAnsi="Times New Roman" w:cs="Times New Roman"/>
          <w:sz w:val="24"/>
          <w:szCs w:val="22"/>
        </w:rPr>
      </w:pPr>
    </w:p>
    <w:p w14:paraId="4AB6A028" w14:textId="77777777" w:rsidR="00BA14CD" w:rsidRPr="0093493E" w:rsidRDefault="00BA14CD" w:rsidP="0093493E">
      <w:pPr>
        <w:spacing w:after="0" w:line="240" w:lineRule="auto"/>
        <w:jc w:val="both"/>
        <w:rPr>
          <w:rFonts w:ascii="Times New Roman" w:hAnsi="Times New Roman" w:cs="Times New Roman"/>
          <w:sz w:val="24"/>
          <w:szCs w:val="22"/>
        </w:rPr>
      </w:pPr>
      <w:r w:rsidRPr="0093493E">
        <w:rPr>
          <w:rFonts w:ascii="Times New Roman" w:hAnsi="Times New Roman" w:cs="Times New Roman"/>
          <w:sz w:val="24"/>
          <w:szCs w:val="22"/>
        </w:rPr>
        <w:t>On behalf of [TRIBE], I am pleased to write in support of AB 221</w:t>
      </w:r>
      <w:r w:rsidR="0093493E">
        <w:rPr>
          <w:rFonts w:ascii="Times New Roman" w:hAnsi="Times New Roman" w:cs="Times New Roman"/>
          <w:sz w:val="24"/>
          <w:szCs w:val="22"/>
        </w:rPr>
        <w:t>,</w:t>
      </w:r>
      <w:r w:rsidRPr="0093493E">
        <w:rPr>
          <w:rFonts w:ascii="Times New Roman" w:hAnsi="Times New Roman" w:cs="Times New Roman"/>
          <w:sz w:val="24"/>
          <w:szCs w:val="22"/>
        </w:rPr>
        <w:t xml:space="preserve"> a vital piece of legislation</w:t>
      </w:r>
      <w:r w:rsidR="0093493E">
        <w:rPr>
          <w:rFonts w:ascii="Times New Roman" w:hAnsi="Times New Roman" w:cs="Times New Roman"/>
          <w:sz w:val="24"/>
          <w:szCs w:val="22"/>
        </w:rPr>
        <w:t xml:space="preserve"> that will assist the vast majority of California tribes</w:t>
      </w:r>
      <w:r w:rsidRPr="0093493E">
        <w:rPr>
          <w:rFonts w:ascii="Times New Roman" w:hAnsi="Times New Roman" w:cs="Times New Roman"/>
          <w:sz w:val="24"/>
          <w:szCs w:val="22"/>
        </w:rPr>
        <w:t xml:space="preserve">.  AB 221 would streamline the existing Tribal Nation Grant Fund (TNGF) process to provide annual equal distribution grants to all federal recognized tribes that either have no gaming (“nongaming”) or operate less than 350 Class III gaming devices (“limited gaming”).  </w:t>
      </w:r>
    </w:p>
    <w:p w14:paraId="5B2AF5BF" w14:textId="77777777" w:rsidR="0093493E" w:rsidRDefault="0093493E" w:rsidP="0093493E">
      <w:pPr>
        <w:spacing w:after="0" w:line="240" w:lineRule="auto"/>
        <w:jc w:val="both"/>
        <w:rPr>
          <w:rFonts w:ascii="Times New Roman" w:hAnsi="Times New Roman" w:cs="Times New Roman"/>
          <w:sz w:val="24"/>
          <w:szCs w:val="22"/>
        </w:rPr>
      </w:pPr>
    </w:p>
    <w:p w14:paraId="1A228AB6" w14:textId="77777777" w:rsidR="00BA14CD" w:rsidRPr="0093493E" w:rsidRDefault="00BA14CD" w:rsidP="0093493E">
      <w:pPr>
        <w:spacing w:after="0" w:line="240" w:lineRule="auto"/>
        <w:jc w:val="both"/>
        <w:rPr>
          <w:rFonts w:ascii="Times New Roman" w:hAnsi="Times New Roman" w:cs="Times New Roman"/>
          <w:sz w:val="24"/>
          <w:szCs w:val="22"/>
        </w:rPr>
      </w:pPr>
      <w:r w:rsidRPr="0093493E">
        <w:rPr>
          <w:rFonts w:ascii="Times New Roman" w:hAnsi="Times New Roman" w:cs="Times New Roman"/>
          <w:sz w:val="24"/>
          <w:szCs w:val="22"/>
        </w:rPr>
        <w:t xml:space="preserve">After months of discussions and statewide meetings, tribal leaders reached consensus on the need to change state law to simplify and streamline the TNGF grant process. This new streamlined system would provide equal annual grants, paid quarterly, to all eligible federally recognized nongaming and limited gaming tribes that apply. Under AB 221, eligible tribes who apply would receive annual equal grants of $600,000, or at least 85% of the available moneys in the fund - a nearly 55% increase in revenue sharing payments to eligible tribal governments.  This funding would support vital tribal programs including effective self-governance, economic development, housing, vocational training, tribal education, public health and safety, renewable energy, water conservation, cultural preservation, and scholarships.  </w:t>
      </w:r>
    </w:p>
    <w:p w14:paraId="3A30384B" w14:textId="77777777" w:rsidR="0093493E" w:rsidRDefault="0093493E" w:rsidP="0093493E">
      <w:pPr>
        <w:snapToGrid w:val="0"/>
        <w:spacing w:after="0" w:line="264" w:lineRule="auto"/>
        <w:jc w:val="both"/>
        <w:rPr>
          <w:rFonts w:ascii="Times New Roman" w:hAnsi="Times New Roman" w:cs="Times New Roman"/>
          <w:color w:val="000000" w:themeColor="text1"/>
          <w:sz w:val="24"/>
          <w:szCs w:val="22"/>
        </w:rPr>
      </w:pPr>
    </w:p>
    <w:p w14:paraId="66EC565B" w14:textId="77777777" w:rsidR="00BA14CD" w:rsidRPr="0093493E" w:rsidRDefault="00BA14CD" w:rsidP="0093493E">
      <w:pPr>
        <w:snapToGrid w:val="0"/>
        <w:spacing w:after="0" w:line="264" w:lineRule="auto"/>
        <w:jc w:val="both"/>
        <w:rPr>
          <w:rFonts w:ascii="Times New Roman" w:hAnsi="Times New Roman" w:cs="Times New Roman"/>
          <w:sz w:val="24"/>
          <w:szCs w:val="22"/>
        </w:rPr>
      </w:pPr>
      <w:r w:rsidRPr="0093493E">
        <w:rPr>
          <w:rFonts w:ascii="Times New Roman" w:hAnsi="Times New Roman" w:cs="Times New Roman"/>
          <w:color w:val="000000" w:themeColor="text1"/>
          <w:sz w:val="24"/>
          <w:szCs w:val="22"/>
        </w:rPr>
        <w:t>AB 221 is vital for economically disadvantaged tribes as it would provide a</w:t>
      </w:r>
      <w:r w:rsidRPr="0093493E">
        <w:rPr>
          <w:rFonts w:ascii="Times New Roman" w:hAnsi="Times New Roman" w:cs="Times New Roman"/>
          <w:sz w:val="24"/>
          <w:szCs w:val="22"/>
        </w:rPr>
        <w:t xml:space="preserve"> consistent equal distribution grant from the TNGF would help stabilize funding for eligible tribal governments. This would augment the existing $1.1 million distribution from the Revenue Sharing Trust Fund (RSTF), pursuant to tribal-state gaming compacts, by $600,000 or more per year.  From 2000 through the fourth quarter of 2024, gaming tribes have contributed more than $1.8 billion in RSTF payments to eligible nongaming and limited gaming tribes, pursuant to tribal-state compacts. </w:t>
      </w:r>
      <w:r w:rsidR="0093493E">
        <w:rPr>
          <w:rFonts w:ascii="Times New Roman" w:hAnsi="Times New Roman" w:cs="Times New Roman"/>
          <w:sz w:val="24"/>
          <w:szCs w:val="22"/>
        </w:rPr>
        <w:t xml:space="preserve"> Notably, pursuant to state law, TNGF monies </w:t>
      </w:r>
      <w:r w:rsidR="0093493E" w:rsidRPr="0093493E">
        <w:rPr>
          <w:rFonts w:ascii="Times New Roman" w:hAnsi="Times New Roman" w:cs="Times New Roman"/>
          <w:sz w:val="24"/>
          <w:szCs w:val="22"/>
        </w:rPr>
        <w:t>must be used exclusively for tribal purposes</w:t>
      </w:r>
      <w:r w:rsidR="0093493E">
        <w:rPr>
          <w:rFonts w:ascii="Times New Roman" w:hAnsi="Times New Roman" w:cs="Times New Roman"/>
          <w:sz w:val="24"/>
          <w:szCs w:val="22"/>
        </w:rPr>
        <w:t xml:space="preserve">, thus </w:t>
      </w:r>
      <w:r w:rsidR="0093493E" w:rsidRPr="0093493E">
        <w:rPr>
          <w:rFonts w:ascii="Times New Roman" w:hAnsi="Times New Roman" w:cs="Times New Roman"/>
          <w:sz w:val="24"/>
          <w:szCs w:val="22"/>
        </w:rPr>
        <w:t xml:space="preserve">AB 221 will not result in new costs to the State. </w:t>
      </w:r>
      <w:r w:rsidRPr="0093493E">
        <w:rPr>
          <w:rFonts w:ascii="Times New Roman" w:hAnsi="Times New Roman" w:cs="Times New Roman"/>
          <w:sz w:val="24"/>
          <w:szCs w:val="22"/>
        </w:rPr>
        <w:t xml:space="preserve"> </w:t>
      </w:r>
    </w:p>
    <w:p w14:paraId="13B9DB58" w14:textId="77777777" w:rsidR="0093493E" w:rsidRDefault="0093493E" w:rsidP="0093493E">
      <w:pPr>
        <w:spacing w:after="0"/>
        <w:rPr>
          <w:rFonts w:ascii="Times New Roman" w:hAnsi="Times New Roman" w:cs="Times New Roman"/>
          <w:noProof/>
          <w:sz w:val="24"/>
          <w:szCs w:val="22"/>
        </w:rPr>
      </w:pPr>
    </w:p>
    <w:p w14:paraId="5C20833A" w14:textId="77777777" w:rsidR="00BA14CD" w:rsidRPr="0093493E" w:rsidRDefault="00BA14CD" w:rsidP="0093493E">
      <w:pPr>
        <w:spacing w:after="0"/>
        <w:rPr>
          <w:rStyle w:val="normaltextrun"/>
          <w:rFonts w:ascii="Times New Roman" w:hAnsi="Times New Roman" w:cs="Times New Roman"/>
          <w:sz w:val="24"/>
          <w:szCs w:val="22"/>
        </w:rPr>
      </w:pPr>
      <w:r w:rsidRPr="0093493E">
        <w:rPr>
          <w:rFonts w:ascii="Times New Roman" w:hAnsi="Times New Roman" w:cs="Times New Roman"/>
          <w:noProof/>
          <w:sz w:val="24"/>
          <w:szCs w:val="22"/>
        </w:rPr>
        <w:t xml:space="preserve">For these reasons, [TRIBE] </w:t>
      </w:r>
      <w:r w:rsidR="0093493E">
        <w:rPr>
          <w:rFonts w:ascii="Times New Roman" w:hAnsi="Times New Roman" w:cs="Times New Roman"/>
          <w:noProof/>
          <w:sz w:val="24"/>
          <w:szCs w:val="22"/>
        </w:rPr>
        <w:t xml:space="preserve">strongly </w:t>
      </w:r>
      <w:r w:rsidRPr="0093493E">
        <w:rPr>
          <w:rFonts w:ascii="Times New Roman" w:hAnsi="Times New Roman" w:cs="Times New Roman"/>
          <w:noProof/>
          <w:sz w:val="24"/>
          <w:szCs w:val="22"/>
        </w:rPr>
        <w:t>support</w:t>
      </w:r>
      <w:r w:rsidR="0093493E">
        <w:rPr>
          <w:rFonts w:ascii="Times New Roman" w:hAnsi="Times New Roman" w:cs="Times New Roman"/>
          <w:noProof/>
          <w:sz w:val="24"/>
          <w:szCs w:val="22"/>
        </w:rPr>
        <w:t>s</w:t>
      </w:r>
      <w:r w:rsidRPr="0093493E">
        <w:rPr>
          <w:rFonts w:ascii="Times New Roman" w:hAnsi="Times New Roman" w:cs="Times New Roman"/>
          <w:noProof/>
          <w:sz w:val="24"/>
          <w:szCs w:val="22"/>
        </w:rPr>
        <w:t xml:space="preserve"> AB 221</w:t>
      </w:r>
      <w:r w:rsidR="0093493E">
        <w:rPr>
          <w:rFonts w:ascii="Times New Roman" w:hAnsi="Times New Roman" w:cs="Times New Roman"/>
          <w:noProof/>
          <w:sz w:val="24"/>
          <w:szCs w:val="22"/>
        </w:rPr>
        <w:t xml:space="preserve"> and thanks you for your authorship of this legislation</w:t>
      </w:r>
      <w:r w:rsidRPr="0093493E">
        <w:rPr>
          <w:rStyle w:val="normaltextrun"/>
          <w:rFonts w:ascii="Times New Roman" w:hAnsi="Times New Roman" w:cs="Times New Roman"/>
          <w:sz w:val="24"/>
          <w:szCs w:val="22"/>
        </w:rPr>
        <w:t>. Thank you.</w:t>
      </w:r>
    </w:p>
    <w:p w14:paraId="6657341D" w14:textId="77777777" w:rsidR="00BA14CD" w:rsidRPr="0093493E" w:rsidRDefault="00BA14CD" w:rsidP="0093493E">
      <w:pPr>
        <w:spacing w:after="0"/>
        <w:rPr>
          <w:rStyle w:val="normaltextrun"/>
          <w:rFonts w:ascii="Times New Roman" w:hAnsi="Times New Roman" w:cs="Times New Roman"/>
          <w:sz w:val="24"/>
          <w:szCs w:val="22"/>
        </w:rPr>
      </w:pPr>
    </w:p>
    <w:p w14:paraId="3A7739E4" w14:textId="77777777" w:rsidR="00BA14CD" w:rsidRDefault="00BA14CD" w:rsidP="0093493E">
      <w:pPr>
        <w:spacing w:after="0"/>
        <w:rPr>
          <w:rStyle w:val="normaltextrun"/>
          <w:rFonts w:ascii="Times New Roman" w:hAnsi="Times New Roman" w:cs="Times New Roman"/>
          <w:sz w:val="24"/>
          <w:szCs w:val="22"/>
        </w:rPr>
      </w:pPr>
      <w:r w:rsidRPr="0093493E">
        <w:rPr>
          <w:rStyle w:val="normaltextrun"/>
          <w:rFonts w:ascii="Times New Roman" w:hAnsi="Times New Roman" w:cs="Times New Roman"/>
          <w:sz w:val="24"/>
          <w:szCs w:val="22"/>
        </w:rPr>
        <w:t xml:space="preserve">Sincerely, </w:t>
      </w:r>
    </w:p>
    <w:p w14:paraId="0AF4B540" w14:textId="77777777" w:rsidR="0093493E" w:rsidRPr="0093493E" w:rsidRDefault="0093493E" w:rsidP="0093493E">
      <w:pPr>
        <w:spacing w:after="0"/>
        <w:rPr>
          <w:rStyle w:val="normaltextrun"/>
          <w:rFonts w:ascii="Times New Roman" w:hAnsi="Times New Roman" w:cs="Times New Roman"/>
          <w:sz w:val="24"/>
          <w:szCs w:val="22"/>
        </w:rPr>
      </w:pPr>
    </w:p>
    <w:p w14:paraId="68DA0E6C" w14:textId="77777777" w:rsidR="00BA14CD" w:rsidRPr="0093493E" w:rsidRDefault="00BA14CD" w:rsidP="0093493E">
      <w:pPr>
        <w:spacing w:after="0"/>
        <w:rPr>
          <w:rStyle w:val="normaltextrun"/>
          <w:rFonts w:ascii="Times New Roman" w:hAnsi="Times New Roman" w:cs="Times New Roman"/>
          <w:sz w:val="24"/>
          <w:szCs w:val="22"/>
        </w:rPr>
      </w:pPr>
      <w:r w:rsidRPr="0093493E">
        <w:rPr>
          <w:rStyle w:val="normaltextrun"/>
          <w:rFonts w:ascii="Times New Roman" w:hAnsi="Times New Roman" w:cs="Times New Roman"/>
          <w:sz w:val="24"/>
          <w:szCs w:val="22"/>
        </w:rPr>
        <w:t>[SIGNATURE]</w:t>
      </w:r>
    </w:p>
    <w:p w14:paraId="10682B97" w14:textId="77777777" w:rsidR="00BA14CD" w:rsidRPr="0093493E" w:rsidRDefault="00BA14CD" w:rsidP="0093493E">
      <w:pPr>
        <w:spacing w:after="0"/>
        <w:rPr>
          <w:rStyle w:val="normaltextrun"/>
          <w:rFonts w:ascii="Times New Roman" w:hAnsi="Times New Roman" w:cs="Times New Roman"/>
          <w:sz w:val="24"/>
          <w:szCs w:val="22"/>
        </w:rPr>
      </w:pPr>
      <w:r w:rsidRPr="0093493E">
        <w:rPr>
          <w:rStyle w:val="normaltextrun"/>
          <w:rFonts w:ascii="Times New Roman" w:hAnsi="Times New Roman" w:cs="Times New Roman"/>
          <w:sz w:val="24"/>
          <w:szCs w:val="22"/>
        </w:rPr>
        <w:t xml:space="preserve">[NAME] </w:t>
      </w:r>
    </w:p>
    <w:p w14:paraId="075CF7FB" w14:textId="77777777" w:rsidR="00BA14CD" w:rsidRDefault="00BA14CD" w:rsidP="0093493E">
      <w:pPr>
        <w:spacing w:after="0"/>
        <w:rPr>
          <w:rStyle w:val="normaltextrun"/>
          <w:rFonts w:ascii="Times New Roman" w:hAnsi="Times New Roman" w:cs="Times New Roman"/>
          <w:sz w:val="24"/>
          <w:szCs w:val="22"/>
        </w:rPr>
      </w:pPr>
      <w:r w:rsidRPr="0093493E">
        <w:rPr>
          <w:rStyle w:val="normaltextrun"/>
          <w:rFonts w:ascii="Times New Roman" w:hAnsi="Times New Roman" w:cs="Times New Roman"/>
          <w:sz w:val="24"/>
          <w:szCs w:val="22"/>
        </w:rPr>
        <w:t xml:space="preserve">[TITLE] </w:t>
      </w:r>
    </w:p>
    <w:p w14:paraId="14A20D89" w14:textId="77777777" w:rsidR="0093493E" w:rsidRPr="0093493E" w:rsidRDefault="0093493E" w:rsidP="0093493E">
      <w:pPr>
        <w:spacing w:after="0"/>
        <w:rPr>
          <w:rFonts w:ascii="Times New Roman" w:hAnsi="Times New Roman" w:cs="Times New Roman"/>
          <w:sz w:val="24"/>
          <w:szCs w:val="22"/>
        </w:rPr>
      </w:pPr>
    </w:p>
    <w:sectPr w:rsidR="0093493E" w:rsidRPr="009349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44FE" w14:textId="77777777" w:rsidR="00817A24" w:rsidRDefault="00817A24" w:rsidP="00040CE3">
      <w:pPr>
        <w:spacing w:after="0" w:line="240" w:lineRule="auto"/>
      </w:pPr>
      <w:r>
        <w:separator/>
      </w:r>
    </w:p>
  </w:endnote>
  <w:endnote w:type="continuationSeparator" w:id="0">
    <w:p w14:paraId="4A287C8D" w14:textId="77777777" w:rsidR="00817A24" w:rsidRDefault="00817A24" w:rsidP="0004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00D6" w14:textId="77777777" w:rsidR="00817A24" w:rsidRDefault="00817A24" w:rsidP="00040CE3">
      <w:pPr>
        <w:spacing w:after="0" w:line="240" w:lineRule="auto"/>
      </w:pPr>
      <w:r>
        <w:separator/>
      </w:r>
    </w:p>
  </w:footnote>
  <w:footnote w:type="continuationSeparator" w:id="0">
    <w:p w14:paraId="313252F9" w14:textId="77777777" w:rsidR="00817A24" w:rsidRDefault="00817A24" w:rsidP="0004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98FD" w14:textId="77777777" w:rsidR="00040CE3" w:rsidRPr="0031737E" w:rsidRDefault="00040CE3" w:rsidP="00040CE3">
    <w:pPr>
      <w:pStyle w:val="paragraph"/>
      <w:spacing w:before="0" w:beforeAutospacing="0" w:after="0" w:afterAutospacing="0"/>
      <w:jc w:val="center"/>
      <w:textAlignment w:val="baseline"/>
      <w:rPr>
        <w:b/>
        <w:bCs/>
        <w:u w:val="single"/>
      </w:rPr>
    </w:pPr>
    <w:r>
      <w:rPr>
        <w:rStyle w:val="eop"/>
        <w:rFonts w:eastAsiaTheme="majorEastAsia"/>
        <w:b/>
        <w:bCs/>
        <w:color w:val="000000"/>
        <w:u w:val="single"/>
      </w:rPr>
      <w:t xml:space="preserve">[ </w:t>
    </w:r>
    <w:r w:rsidRPr="0031737E">
      <w:rPr>
        <w:rStyle w:val="eop"/>
        <w:rFonts w:eastAsiaTheme="majorEastAsia"/>
        <w:b/>
        <w:bCs/>
        <w:color w:val="000000"/>
        <w:u w:val="single"/>
      </w:rPr>
      <w:t>Please Submit to the Advocate Portal</w:t>
    </w:r>
    <w:r>
      <w:rPr>
        <w:rStyle w:val="eop"/>
        <w:rFonts w:eastAsiaTheme="majorEastAsia"/>
        <w:b/>
        <w:bCs/>
        <w:color w:val="000000"/>
        <w:u w:val="single"/>
      </w:rPr>
      <w:t>:</w:t>
    </w:r>
    <w:r w:rsidRPr="0031737E">
      <w:rPr>
        <w:rStyle w:val="eop"/>
        <w:rFonts w:eastAsiaTheme="majorEastAsia"/>
        <w:b/>
        <w:bCs/>
        <w:color w:val="000000"/>
        <w:u w:val="single"/>
      </w:rPr>
      <w:t xml:space="preserve"> </w:t>
    </w:r>
    <w:hyperlink r:id="rId1" w:history="1">
      <w:r w:rsidRPr="0031737E">
        <w:rPr>
          <w:rStyle w:val="Hyperlink"/>
          <w:rFonts w:eastAsiaTheme="majorEastAsia"/>
        </w:rPr>
        <w:t>https://calegislation.lc.ca.gov/Advocates/</w:t>
      </w:r>
    </w:hyperlink>
    <w:r w:rsidRPr="0031737E">
      <w:t xml:space="preserve"> </w:t>
    </w:r>
    <w:r>
      <w:t>]</w:t>
    </w:r>
  </w:p>
  <w:p w14:paraId="2E9BEF76" w14:textId="77777777" w:rsidR="00040CE3" w:rsidRPr="0031737E" w:rsidRDefault="00040CE3" w:rsidP="00040CE3">
    <w:pPr>
      <w:pStyle w:val="paragraph"/>
      <w:spacing w:before="0" w:beforeAutospacing="0" w:after="0" w:afterAutospacing="0"/>
      <w:jc w:val="center"/>
      <w:textAlignment w:val="baseline"/>
      <w:rPr>
        <w:rStyle w:val="eop"/>
        <w:rFonts w:eastAsiaTheme="majorEastAsia"/>
        <w:color w:val="000000"/>
      </w:rPr>
    </w:pPr>
  </w:p>
  <w:p w14:paraId="2F3E5BA2" w14:textId="77777777" w:rsidR="00040CE3" w:rsidRDefault="00040C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CD"/>
    <w:rsid w:val="00040CE3"/>
    <w:rsid w:val="000517F9"/>
    <w:rsid w:val="00402BCB"/>
    <w:rsid w:val="005E4485"/>
    <w:rsid w:val="006E620F"/>
    <w:rsid w:val="00817A24"/>
    <w:rsid w:val="0093493E"/>
    <w:rsid w:val="00BA14CD"/>
    <w:rsid w:val="00BE4611"/>
    <w:rsid w:val="00DA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292D"/>
  <w15:chartTrackingRefBased/>
  <w15:docId w15:val="{64AFC1BA-E7EF-4B0A-B199-4B5CB5E7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CD"/>
    <w:rPr>
      <w:rFonts w:asciiTheme="majorHAnsi"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A14CD"/>
  </w:style>
  <w:style w:type="paragraph" w:styleId="Header">
    <w:name w:val="header"/>
    <w:basedOn w:val="Normal"/>
    <w:link w:val="HeaderChar"/>
    <w:uiPriority w:val="99"/>
    <w:unhideWhenUsed/>
    <w:rsid w:val="00040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CE3"/>
    <w:rPr>
      <w:rFonts w:asciiTheme="majorHAnsi" w:hAnsiTheme="majorHAnsi" w:cstheme="majorBidi"/>
      <w:sz w:val="20"/>
      <w:szCs w:val="24"/>
    </w:rPr>
  </w:style>
  <w:style w:type="paragraph" w:styleId="Footer">
    <w:name w:val="footer"/>
    <w:basedOn w:val="Normal"/>
    <w:link w:val="FooterChar"/>
    <w:uiPriority w:val="99"/>
    <w:unhideWhenUsed/>
    <w:rsid w:val="00040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CE3"/>
    <w:rPr>
      <w:rFonts w:asciiTheme="majorHAnsi" w:hAnsiTheme="majorHAnsi" w:cstheme="majorBidi"/>
      <w:sz w:val="20"/>
      <w:szCs w:val="24"/>
    </w:rPr>
  </w:style>
  <w:style w:type="paragraph" w:customStyle="1" w:styleId="paragraph">
    <w:name w:val="paragraph"/>
    <w:basedOn w:val="Normal"/>
    <w:rsid w:val="00040CE3"/>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40CE3"/>
  </w:style>
  <w:style w:type="character" w:styleId="Hyperlink">
    <w:name w:val="Hyperlink"/>
    <w:basedOn w:val="DefaultParagraphFont"/>
    <w:uiPriority w:val="99"/>
    <w:unhideWhenUsed/>
    <w:rsid w:val="00040CE3"/>
    <w:rPr>
      <w:color w:val="0563C1" w:themeColor="hyperlink"/>
      <w:u w:val="single"/>
    </w:rPr>
  </w:style>
  <w:style w:type="character" w:styleId="FollowedHyperlink">
    <w:name w:val="FollowedHyperlink"/>
    <w:basedOn w:val="DefaultParagraphFont"/>
    <w:uiPriority w:val="99"/>
    <w:semiHidden/>
    <w:unhideWhenUsed/>
    <w:rsid w:val="00040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Cloud</dc:creator>
  <cp:keywords/>
  <dc:description/>
  <cp:lastModifiedBy>Heather Holmes</cp:lastModifiedBy>
  <cp:revision>2</cp:revision>
  <dcterms:created xsi:type="dcterms:W3CDTF">2025-07-10T20:08:00Z</dcterms:created>
  <dcterms:modified xsi:type="dcterms:W3CDTF">2025-07-10T20:08:00Z</dcterms:modified>
</cp:coreProperties>
</file>